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BA" w:rsidRPr="00047EBA" w:rsidRDefault="00047EBA" w:rsidP="00047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</w:t>
      </w:r>
    </w:p>
    <w:p w:rsidR="00047EBA" w:rsidRPr="00047EBA" w:rsidRDefault="00047EBA" w:rsidP="00047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ПО.01.УП.02., В.02.УП.02 «Ансамбль»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«Ансамбль» (далее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программа) входит в обязательную и вариативную части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дополнительной предпрофессиональной программы в области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искусства «Струнные инструменты».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EBA">
        <w:rPr>
          <w:rFonts w:ascii="Times New Roman" w:hAnsi="Times New Roman" w:cs="Times New Roman"/>
          <w:sz w:val="28"/>
          <w:szCs w:val="28"/>
        </w:rPr>
        <w:t>Программа учебного предмета «Ансамбль» разработана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государственными требованиями к ДП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7E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«Струнные инструменты» на основе примерной программы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культуры РФ по учебному предмету «Ансамбль», г. Москва,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 xml:space="preserve">(разработчик </w:t>
      </w:r>
      <w:proofErr w:type="spellStart"/>
      <w:r w:rsidRPr="00047EBA">
        <w:rPr>
          <w:rFonts w:ascii="Times New Roman" w:hAnsi="Times New Roman" w:cs="Times New Roman"/>
          <w:sz w:val="28"/>
          <w:szCs w:val="28"/>
        </w:rPr>
        <w:t>И.А.Кузнецова</w:t>
      </w:r>
      <w:proofErr w:type="spellEnd"/>
      <w:r w:rsidRPr="00047EBA">
        <w:rPr>
          <w:rFonts w:ascii="Times New Roman" w:hAnsi="Times New Roman" w:cs="Times New Roman"/>
          <w:sz w:val="28"/>
          <w:szCs w:val="28"/>
        </w:rPr>
        <w:t>, преподаватель Детской музыкальной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Академического музыкального колледжа при Московской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 xml:space="preserve">консерватории имени </w:t>
      </w:r>
      <w:proofErr w:type="spellStart"/>
      <w:r w:rsidRPr="00047EBA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047EBA">
        <w:rPr>
          <w:rFonts w:ascii="Times New Roman" w:hAnsi="Times New Roman" w:cs="Times New Roman"/>
          <w:sz w:val="28"/>
          <w:szCs w:val="28"/>
        </w:rPr>
        <w:t>, заведующая сектором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струнного отделения).</w:t>
      </w:r>
      <w:proofErr w:type="gramEnd"/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Реализация программы учебного предмета «Ансамбль» составляет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BA">
        <w:rPr>
          <w:rFonts w:ascii="Times New Roman" w:hAnsi="Times New Roman" w:cs="Times New Roman"/>
          <w:sz w:val="28"/>
          <w:szCs w:val="28"/>
        </w:rPr>
        <w:t>лет – с 4 по 8 класс.</w:t>
      </w:r>
      <w:r>
        <w:rPr>
          <w:rFonts w:ascii="Times New Roman" w:hAnsi="Times New Roman" w:cs="Times New Roman"/>
          <w:sz w:val="28"/>
          <w:szCs w:val="28"/>
        </w:rPr>
        <w:t xml:space="preserve"> Возможно введение в ансамбль младших учащихся за счёт часов вариативной части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Цель учебного предмета: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047EB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7EBA">
        <w:rPr>
          <w:rFonts w:ascii="Times New Roman" w:hAnsi="Times New Roman" w:cs="Times New Roman"/>
          <w:sz w:val="28"/>
          <w:szCs w:val="28"/>
        </w:rPr>
        <w:t xml:space="preserve"> на основе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приобретенных им знаний, умений и навыков в области </w:t>
      </w:r>
      <w:proofErr w:type="gramStart"/>
      <w:r w:rsidRPr="00047EBA">
        <w:rPr>
          <w:rFonts w:ascii="Times New Roman" w:hAnsi="Times New Roman" w:cs="Times New Roman"/>
          <w:sz w:val="28"/>
          <w:szCs w:val="28"/>
        </w:rPr>
        <w:t>ансамблевого</w:t>
      </w:r>
      <w:proofErr w:type="gramEnd"/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исполнительства.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Структура рабочей программы учебного предмета: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I. Пояснительная записка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1. Характеристика учебного предмета, его место и роль в </w:t>
      </w:r>
      <w:proofErr w:type="gramStart"/>
      <w:r w:rsidRPr="00047EBA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EB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2. Срок реализации учебного предмета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3. Объем учебного времени, предусмотренный учебным планом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образовательного учреждения на реализацию учебного предмета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4. Форма проведения учебных аудиторных занятий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5. Цель и задачи учебного предмета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lastRenderedPageBreak/>
        <w:t>6. Обоснование структуры программы учебного предмета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7. Методы обучения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8. Описание материально-технических условий реализации </w:t>
      </w:r>
      <w:proofErr w:type="gramStart"/>
      <w:r w:rsidRPr="00047EBA"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предмета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II. Содержание учебного предмета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1. Сведения о затратах учебного времени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2. Годовые требования по классам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III. Требования к уровню подготовки </w:t>
      </w:r>
      <w:proofErr w:type="gramStart"/>
      <w:r w:rsidRPr="00047E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IV. Формы и методы контроля, система оценок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1. Аттестация: цели, виды, форма, содержание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2. Критерии оценок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3. Фонды оценочных средств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V. Методическое обеспечение учебного процесса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1. Методические рекомендации педагогическим работникам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 xml:space="preserve">2. Рекомендации по организации самостоятельной работы </w:t>
      </w:r>
      <w:proofErr w:type="gramStart"/>
      <w:r w:rsidRPr="00047E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VI. Список рекомендуемой нотной и методической литературы</w:t>
      </w:r>
    </w:p>
    <w:p w:rsidR="00047EBA" w:rsidRP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1. Нотная литература</w:t>
      </w:r>
    </w:p>
    <w:p w:rsidR="00C66F60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  <w:r w:rsidRPr="00047EBA">
        <w:rPr>
          <w:rFonts w:ascii="Times New Roman" w:hAnsi="Times New Roman" w:cs="Times New Roman"/>
          <w:sz w:val="28"/>
          <w:szCs w:val="28"/>
        </w:rPr>
        <w:t>2. Методическая литература</w:t>
      </w:r>
    </w:p>
    <w:p w:rsid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EBA" w:rsidRDefault="00047EBA" w:rsidP="00047E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747" w:rsidRPr="004C471E" w:rsidRDefault="00526747" w:rsidP="004C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C4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– Тимирова Лилия Алмасовна, преподаватель высшей квалификационной категории Азнакаевской ДШИ</w:t>
      </w:r>
    </w:p>
    <w:p w:rsidR="00526747" w:rsidRPr="004C471E" w:rsidRDefault="00526747" w:rsidP="004C4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747" w:rsidRPr="004C471E" w:rsidRDefault="00526747" w:rsidP="004C47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Еникеева З.С.  преподаватель высшей квалификационной категории Азнакаевской ДШИ, заслуженный работник культуры РТ </w:t>
      </w:r>
    </w:p>
    <w:bookmarkEnd w:id="0"/>
    <w:p w:rsidR="00047EBA" w:rsidRPr="004C471E" w:rsidRDefault="00047EBA" w:rsidP="004C47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7EBA" w:rsidRPr="004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BA"/>
    <w:rsid w:val="00047EBA"/>
    <w:rsid w:val="00245DEF"/>
    <w:rsid w:val="004C471E"/>
    <w:rsid w:val="00526747"/>
    <w:rsid w:val="009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2023-05-29T10:32:00Z</dcterms:created>
  <dcterms:modified xsi:type="dcterms:W3CDTF">2023-05-30T08:08:00Z</dcterms:modified>
</cp:coreProperties>
</file>