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64CE" w:rsidTr="00F01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vAlign w:val="center"/>
          </w:tcPr>
          <w:p w:rsidR="00C33B9B" w:rsidRDefault="00B564CE" w:rsidP="00C33B9B">
            <w:pPr>
              <w:spacing w:before="60" w:after="60"/>
              <w:jc w:val="center"/>
            </w:pPr>
            <w:r>
              <w:t xml:space="preserve">Дополнительная предпрофессиональная образовательная программа </w:t>
            </w:r>
          </w:p>
          <w:p w:rsidR="00B564CE" w:rsidRDefault="00B564CE" w:rsidP="00C33B9B">
            <w:pPr>
              <w:spacing w:before="60" w:after="60"/>
              <w:jc w:val="center"/>
            </w:pPr>
            <w:r>
              <w:t>"</w:t>
            </w:r>
            <w:r w:rsidR="00C33B9B">
              <w:t>Струнные инструменты</w:t>
            </w:r>
            <w:r>
              <w:t>"</w:t>
            </w:r>
          </w:p>
        </w:tc>
      </w:tr>
      <w:tr w:rsidR="00B564CE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Программа является  адаптированной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нет</w:t>
            </w:r>
          </w:p>
        </w:tc>
      </w:tr>
      <w:tr w:rsidR="00B564CE" w:rsidTr="00B56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/>
        </w:tc>
        <w:tc>
          <w:tcPr>
            <w:tcW w:w="4786" w:type="dxa"/>
          </w:tcPr>
          <w:p w:rsidR="00B564CE" w:rsidRPr="00B564CE" w:rsidRDefault="00B564CE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564CE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Государственная аккредитация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нет</w:t>
            </w:r>
          </w:p>
        </w:tc>
      </w:tr>
      <w:tr w:rsidR="00B564CE" w:rsidTr="00B56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/>
        </w:tc>
        <w:tc>
          <w:tcPr>
            <w:tcW w:w="4786" w:type="dxa"/>
          </w:tcPr>
          <w:p w:rsidR="00B564CE" w:rsidRPr="00B564CE" w:rsidRDefault="00B564CE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564CE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Языки, на которых осуществляется обучение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русский</w:t>
            </w:r>
          </w:p>
        </w:tc>
      </w:tr>
      <w:tr w:rsidR="00B564CE" w:rsidTr="00B56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/>
        </w:tc>
        <w:tc>
          <w:tcPr>
            <w:tcW w:w="4786" w:type="dxa"/>
          </w:tcPr>
          <w:p w:rsidR="00B564CE" w:rsidRPr="00B564CE" w:rsidRDefault="00B564CE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564CE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Уровень образования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дополнительное образование детей и взрослых</w:t>
            </w:r>
          </w:p>
        </w:tc>
      </w:tr>
      <w:tr w:rsidR="00B564CE" w:rsidTr="00B564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B564CE"/>
        </w:tc>
        <w:tc>
          <w:tcPr>
            <w:tcW w:w="4786" w:type="dxa"/>
          </w:tcPr>
          <w:p w:rsidR="00B564CE" w:rsidRPr="00B564CE" w:rsidRDefault="00B564CE" w:rsidP="00B56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564CE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Нормативный срок обучения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8 лет</w:t>
            </w:r>
          </w:p>
        </w:tc>
      </w:tr>
      <w:tr w:rsidR="00B564CE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/>
        </w:tc>
        <w:tc>
          <w:tcPr>
            <w:tcW w:w="4786" w:type="dxa"/>
          </w:tcPr>
          <w:p w:rsidR="00B564CE" w:rsidRPr="00B564CE" w:rsidRDefault="00B564CE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B564CE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564CE" w:rsidRDefault="00B564CE" w:rsidP="006F072F">
            <w:r>
              <w:t>Форма обучения</w:t>
            </w:r>
          </w:p>
        </w:tc>
        <w:tc>
          <w:tcPr>
            <w:tcW w:w="4786" w:type="dxa"/>
          </w:tcPr>
          <w:p w:rsidR="00B564CE" w:rsidRPr="00B564CE" w:rsidRDefault="00B564CE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564CE">
              <w:rPr>
                <w:rFonts w:asciiTheme="majorHAnsi" w:hAnsiTheme="majorHAnsi"/>
                <w:b/>
              </w:rPr>
              <w:t>очная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>
            <w:r>
              <w:t>У</w:t>
            </w:r>
            <w:r w:rsidRPr="009A3B24">
              <w:t>чебны</w:t>
            </w:r>
            <w:r>
              <w:t>е</w:t>
            </w:r>
            <w:r w:rsidRPr="009A3B24">
              <w:t xml:space="preserve"> предмет</w:t>
            </w:r>
            <w:r>
              <w:t>ы</w:t>
            </w:r>
            <w:r w:rsidRPr="009A3B24">
              <w:t xml:space="preserve">, </w:t>
            </w:r>
            <w:r>
              <w:t xml:space="preserve">предусмотренные </w:t>
            </w:r>
            <w:r w:rsidRPr="009A3B24">
              <w:t xml:space="preserve"> образовательной программой</w:t>
            </w:r>
          </w:p>
        </w:tc>
        <w:tc>
          <w:tcPr>
            <w:tcW w:w="4786" w:type="dxa"/>
          </w:tcPr>
          <w:p w:rsidR="003F74EC" w:rsidRPr="003F74EC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 xml:space="preserve">Специальность </w:t>
            </w:r>
          </w:p>
          <w:p w:rsidR="003F74EC" w:rsidRPr="003F74EC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>Ансамбль</w:t>
            </w:r>
          </w:p>
          <w:p w:rsidR="003F74EC" w:rsidRPr="003F74EC" w:rsidRDefault="00FC0171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Фортепиано</w:t>
            </w:r>
          </w:p>
          <w:p w:rsidR="003F74EC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>Хоровой класс</w:t>
            </w:r>
          </w:p>
          <w:p w:rsidR="003F74EC" w:rsidRPr="003F74EC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>Сольфеджио</w:t>
            </w:r>
          </w:p>
          <w:p w:rsidR="003F74EC" w:rsidRPr="003F74EC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 xml:space="preserve">Слушание музыки </w:t>
            </w:r>
          </w:p>
          <w:p w:rsidR="003F74EC" w:rsidRPr="00B564CE" w:rsidRDefault="003F74EC" w:rsidP="003F7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3F74EC">
              <w:rPr>
                <w:rFonts w:asciiTheme="majorHAnsi" w:hAnsiTheme="majorHAnsi"/>
                <w:b/>
              </w:rPr>
              <w:t>Музыкальная литература (зарубежная, отечественная)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C5448">
            <w:r w:rsidRPr="009A3B24">
              <w:t>Учебные предметы</w:t>
            </w:r>
            <w:r>
              <w:t xml:space="preserve"> вариативной части</w:t>
            </w:r>
          </w:p>
        </w:tc>
        <w:tc>
          <w:tcPr>
            <w:tcW w:w="4786" w:type="dxa"/>
          </w:tcPr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Музыкальная литература</w:t>
            </w:r>
          </w:p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(региональный компонент)</w:t>
            </w:r>
          </w:p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Оркестровый класс </w:t>
            </w:r>
          </w:p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Хоровой класс</w:t>
            </w:r>
          </w:p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Фортепиано</w:t>
            </w:r>
          </w:p>
          <w:p w:rsidR="00FC0171" w:rsidRPr="00FC0171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Ансамбль</w:t>
            </w:r>
          </w:p>
          <w:p w:rsidR="003F74EC" w:rsidRPr="00B564CE" w:rsidRDefault="00FC0171" w:rsidP="00FC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FC0171">
              <w:rPr>
                <w:rFonts w:asciiTheme="majorHAnsi" w:hAnsiTheme="majorHAnsi"/>
                <w:b/>
              </w:rPr>
              <w:t>Специальность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3F74EC">
            <w:r>
              <w:t xml:space="preserve">Практика, </w:t>
            </w:r>
            <w:proofErr w:type="gramStart"/>
            <w:r>
              <w:t>предусмотренные</w:t>
            </w:r>
            <w:proofErr w:type="gramEnd"/>
            <w:r>
              <w:t xml:space="preserve"> образовательной программой</w:t>
            </w:r>
          </w:p>
        </w:tc>
        <w:tc>
          <w:tcPr>
            <w:tcW w:w="4786" w:type="dxa"/>
          </w:tcPr>
          <w:p w:rsidR="003F74EC" w:rsidRPr="00B564CE" w:rsidRDefault="003F74EC" w:rsidP="008E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1C5CD6">
            <w:proofErr w:type="gramStart"/>
            <w:r>
              <w:t>Использовании</w:t>
            </w:r>
            <w:proofErr w:type="gramEnd"/>
            <w:r>
              <w:t xml:space="preserve">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786" w:type="dxa"/>
          </w:tcPr>
          <w:p w:rsidR="003F74EC" w:rsidRPr="00B564CE" w:rsidRDefault="003F74EC" w:rsidP="001C5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B564CE">
            <w:r>
              <w:t>Общая численность обучающихся</w:t>
            </w:r>
          </w:p>
        </w:tc>
        <w:tc>
          <w:tcPr>
            <w:tcW w:w="4786" w:type="dxa"/>
          </w:tcPr>
          <w:p w:rsidR="003F74EC" w:rsidRPr="00B564CE" w:rsidRDefault="00FC0171" w:rsidP="00B5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B5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9A3B24">
            <w:r>
              <w:t>Ч</w:t>
            </w:r>
            <w:r w:rsidRPr="009A3B24">
              <w:t>исленност</w:t>
            </w:r>
            <w:r>
              <w:t>ь</w:t>
            </w:r>
            <w:r w:rsidRPr="009A3B24">
              <w:t xml:space="preserve"> </w:t>
            </w:r>
            <w:proofErr w:type="gramStart"/>
            <w:r w:rsidRPr="009A3B24">
              <w:t>обучающихся</w:t>
            </w:r>
            <w:proofErr w:type="gramEnd"/>
            <w:r w:rsidRPr="009A3B24">
              <w:t>, являющихся иностранными гражданами</w:t>
            </w:r>
          </w:p>
        </w:tc>
        <w:tc>
          <w:tcPr>
            <w:tcW w:w="4786" w:type="dxa"/>
          </w:tcPr>
          <w:p w:rsidR="003F74EC" w:rsidRPr="00B564CE" w:rsidRDefault="003F74EC" w:rsidP="00B5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9A3B24">
            <w:r>
              <w:t>Ч</w:t>
            </w:r>
            <w:r w:rsidRPr="009A3B24">
              <w:t xml:space="preserve">исленности обучающихся за счет бюджетных ассигнований федерального бюджета </w:t>
            </w:r>
          </w:p>
        </w:tc>
        <w:tc>
          <w:tcPr>
            <w:tcW w:w="4786" w:type="dxa"/>
          </w:tcPr>
          <w:p w:rsidR="003F74EC" w:rsidRPr="00B564CE" w:rsidRDefault="003F74EC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9A3B24">
            <w:r>
              <w:t>Ч</w:t>
            </w:r>
            <w:r w:rsidRPr="009A3B24">
              <w:t>исленност</w:t>
            </w:r>
            <w:r>
              <w:t xml:space="preserve">ь </w:t>
            </w:r>
            <w:r w:rsidRPr="009A3B24">
              <w:t xml:space="preserve"> обучающихся за счет бюджетных ассигнований бюджетов субъектов Российской Федерации</w:t>
            </w:r>
          </w:p>
        </w:tc>
        <w:tc>
          <w:tcPr>
            <w:tcW w:w="4786" w:type="dxa"/>
          </w:tcPr>
          <w:p w:rsidR="003F74EC" w:rsidRPr="00B564CE" w:rsidRDefault="003F74EC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3F74EC">
            <w:r>
              <w:t>Ч</w:t>
            </w:r>
            <w:r w:rsidRPr="003F74EC">
              <w:t>исленност</w:t>
            </w:r>
            <w:r>
              <w:t>ь</w:t>
            </w:r>
            <w:r w:rsidRPr="003F74EC">
              <w:t xml:space="preserve"> обучающихся за счет бюджетных ассигнований местных бюджетов</w:t>
            </w:r>
          </w:p>
        </w:tc>
        <w:tc>
          <w:tcPr>
            <w:tcW w:w="4786" w:type="dxa"/>
          </w:tcPr>
          <w:p w:rsidR="003F74EC" w:rsidRDefault="00FC0171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6F072F"/>
        </w:tc>
        <w:tc>
          <w:tcPr>
            <w:tcW w:w="4786" w:type="dxa"/>
          </w:tcPr>
          <w:p w:rsidR="003F74EC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3F74EC" w:rsidTr="006F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3F74EC">
            <w:r>
              <w:t>Ч</w:t>
            </w:r>
            <w:r w:rsidRPr="003F74EC">
              <w:t>исленност</w:t>
            </w:r>
            <w:r>
              <w:t>ь</w:t>
            </w:r>
            <w:r w:rsidRPr="003F74EC">
              <w:t xml:space="preserve"> обучающихся по договорам </w:t>
            </w:r>
            <w:r>
              <w:t>платных образовательных услуг</w:t>
            </w:r>
          </w:p>
        </w:tc>
        <w:tc>
          <w:tcPr>
            <w:tcW w:w="4786" w:type="dxa"/>
          </w:tcPr>
          <w:p w:rsidR="003F74EC" w:rsidRDefault="003F74EC" w:rsidP="006F0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нет</w:t>
            </w:r>
          </w:p>
        </w:tc>
      </w:tr>
      <w:tr w:rsidR="003F74EC" w:rsidTr="006F07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F74EC" w:rsidRDefault="003F74EC" w:rsidP="009A3B24">
            <w:r w:rsidRPr="009A3B24">
              <w:tab/>
            </w:r>
          </w:p>
        </w:tc>
        <w:tc>
          <w:tcPr>
            <w:tcW w:w="4786" w:type="dxa"/>
          </w:tcPr>
          <w:p w:rsidR="003F74EC" w:rsidRPr="00B564CE" w:rsidRDefault="003F74EC" w:rsidP="006F0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B564CE" w:rsidRDefault="00B564CE" w:rsidP="00B564CE"/>
    <w:p w:rsidR="00B564CE" w:rsidRPr="003F74EC" w:rsidRDefault="00B564CE" w:rsidP="00B564CE">
      <w:pPr>
        <w:shd w:val="clear" w:color="auto" w:fill="FFFFFF"/>
        <w:spacing w:after="0" w:line="240" w:lineRule="auto"/>
        <w:outlineLvl w:val="3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F74E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Описание образовательной программы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Описание образовательной программы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ДП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 «Струнные инструменты» </w:t>
      </w:r>
      <w:proofErr w:type="gramStart"/>
      <w:r w:rsidR="00FC017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оставлена</w:t>
      </w:r>
      <w:proofErr w:type="gramEnd"/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на основе федеральных государственных требований,  которые устанавливают обязательные требования к минимуму её содержания, структуре и условиям реализации.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Программа «Струнные инструменты» составлена с учетом возрастных и индивидуальных особенностей обучающихся и направлена </w:t>
      </w:r>
      <w:proofErr w:type="gramStart"/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</w:t>
      </w:r>
      <w:proofErr w:type="gramEnd"/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создание условий для художественного образования, эстетического воспитания, духовно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го и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нравственного развития детей;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приобретение детьми умений и навыков сольного и ансамблевого исполнительства;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приобретение детьми опыта творческой деятельности;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овладение детьми духовными и культурными ценностями народов мира;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Программа разработана с учетом: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обеспечения преемственности программы «Струнные инструменты»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C33B9B" w:rsidRP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 </w:t>
      </w: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сохранения единства образовательного пространства Российской Федерации в сфере культуры и искусства.</w:t>
      </w:r>
    </w:p>
    <w:p w:rsidR="00C33B9B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Цель программы: приобщение детей к искусству, развитие их творческих </w:t>
      </w:r>
      <w:r w:rsidR="00FC0171" w:rsidRPr="00FC017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 приобретение ими начальных профессиональных навыков.</w:t>
      </w:r>
    </w:p>
    <w:p w:rsidR="00FC0171" w:rsidRPr="00C33B9B" w:rsidRDefault="00FC0171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B564CE" w:rsidRPr="00B564CE" w:rsidRDefault="00C33B9B" w:rsidP="00C33B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33B9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Срок освоения программы «Струнные инструменты» для детей, поступивших в Школу в первый класс в возрасте с шести лет шести месяцев до девяти лет, составляет 8 лет.</w:t>
      </w:r>
    </w:p>
    <w:sectPr w:rsidR="00B564CE" w:rsidRPr="00B5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F9A"/>
    <w:multiLevelType w:val="multilevel"/>
    <w:tmpl w:val="0A5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30CC0"/>
    <w:multiLevelType w:val="multilevel"/>
    <w:tmpl w:val="B79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CE"/>
    <w:rsid w:val="0011020A"/>
    <w:rsid w:val="003F74EC"/>
    <w:rsid w:val="009A3B24"/>
    <w:rsid w:val="00B564CE"/>
    <w:rsid w:val="00BF1546"/>
    <w:rsid w:val="00C33B9B"/>
    <w:rsid w:val="00D96F73"/>
    <w:rsid w:val="00E06AB3"/>
    <w:rsid w:val="00F0106B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B5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B5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954">
          <w:marLeft w:val="0"/>
          <w:marRight w:val="0"/>
          <w:marTop w:val="0"/>
          <w:marBottom w:val="0"/>
          <w:divBdr>
            <w:top w:val="none" w:sz="0" w:space="0" w:color="42577B"/>
            <w:left w:val="none" w:sz="0" w:space="0" w:color="42577B"/>
            <w:bottom w:val="none" w:sz="0" w:space="0" w:color="42577B"/>
            <w:right w:val="none" w:sz="0" w:space="0" w:color="42577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</cp:revision>
  <dcterms:created xsi:type="dcterms:W3CDTF">2023-05-29T10:03:00Z</dcterms:created>
  <dcterms:modified xsi:type="dcterms:W3CDTF">2023-05-29T10:03:00Z</dcterms:modified>
</cp:coreProperties>
</file>